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proofErr w:type="spellStart"/>
      <w:r w:rsidRPr="00FE0F5A">
        <w:rPr>
          <w:rFonts w:hint="eastAsia"/>
          <w:b/>
          <w:bCs/>
          <w:color w:val="E45808"/>
          <w:kern w:val="0"/>
          <w:sz w:val="27"/>
          <w:szCs w:val="27"/>
          <w:lang w:eastAsia="zh-HK"/>
        </w:rPr>
        <w:t>subsidised</w:t>
      </w:r>
      <w:proofErr w:type="spellEnd"/>
      <w:r w:rsidRPr="00FE0F5A">
        <w:rPr>
          <w:rFonts w:hint="eastAsia"/>
          <w:b/>
          <w:bCs/>
          <w:color w:val="E45808"/>
          <w:kern w:val="0"/>
          <w:sz w:val="27"/>
          <w:szCs w:val="27"/>
          <w:lang w:eastAsia="zh-HK"/>
        </w:rPr>
        <w:t xml:space="preserve">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7BBDDDB8"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CA25C8">
        <w:rPr>
          <w:kern w:val="0"/>
        </w:rPr>
        <w:t>31</w:t>
      </w:r>
      <w:r w:rsidR="005B37F4">
        <w:rPr>
          <w:rFonts w:hint="eastAsia"/>
          <w:kern w:val="0"/>
        </w:rPr>
        <w:t xml:space="preserve"> </w:t>
      </w:r>
      <w:r w:rsidR="00CA25C8">
        <w:rPr>
          <w:kern w:val="0"/>
        </w:rPr>
        <w:t>March</w:t>
      </w:r>
      <w:r w:rsidR="005B37F4">
        <w:rPr>
          <w:rFonts w:hint="eastAsia"/>
          <w:kern w:val="0"/>
        </w:rPr>
        <w:t xml:space="preserve"> 202</w:t>
      </w:r>
      <w:r w:rsidR="008B6ADB">
        <w:rPr>
          <w:kern w:val="0"/>
        </w:rPr>
        <w:t>6</w:t>
      </w:r>
      <w:r w:rsidRPr="00FE0F5A">
        <w:rPr>
          <w:kern w:val="0"/>
        </w:rPr>
        <w:t>, there were a total o</w:t>
      </w:r>
      <w:r w:rsidRPr="00C85507">
        <w:rPr>
          <w:kern w:val="0"/>
        </w:rPr>
        <w:t xml:space="preserve">f </w:t>
      </w:r>
      <w:r w:rsidR="008B6ADB">
        <w:rPr>
          <w:kern w:val="0"/>
          <w:lang w:eastAsia="zh-HK"/>
        </w:rPr>
        <w:t>1</w:t>
      </w:r>
      <w:r w:rsidR="00CA25C8">
        <w:rPr>
          <w:kern w:val="0"/>
          <w:lang w:eastAsia="zh-HK"/>
        </w:rPr>
        <w:t>8 323</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w:t>
      </w:r>
      <w:proofErr w:type="spellStart"/>
      <w:r w:rsidRPr="00C85507">
        <w:rPr>
          <w:kern w:val="0"/>
        </w:rPr>
        <w:t>subsidised</w:t>
      </w:r>
      <w:proofErr w:type="spellEnd"/>
      <w:r w:rsidRPr="00C85507">
        <w:rPr>
          <w:kern w:val="0"/>
        </w:rPr>
        <w:t xml:space="preserve"> residential care services </w:t>
      </w:r>
      <w:r w:rsidRPr="00C85507">
        <w:rPr>
          <w:rFonts w:hint="eastAsia"/>
          <w:kern w:val="0"/>
          <w:lang w:eastAsia="zh-HK"/>
        </w:rPr>
        <w:t xml:space="preserve">(RCS) for the elderly </w:t>
      </w:r>
      <w:r w:rsidRPr="00C85507">
        <w:rPr>
          <w:kern w:val="0"/>
        </w:rPr>
        <w:t xml:space="preserve">in the Central Waiting List for </w:t>
      </w:r>
      <w:proofErr w:type="spellStart"/>
      <w:r w:rsidRPr="00C85507">
        <w:rPr>
          <w:kern w:val="0"/>
        </w:rPr>
        <w:t>subsidised</w:t>
      </w:r>
      <w:proofErr w:type="spellEnd"/>
      <w:r w:rsidRPr="00C85507">
        <w:rPr>
          <w:kern w:val="0"/>
        </w:rPr>
        <w:t xml:space="preserve">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46DD7EFD"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1D7D25">
              <w:rPr>
                <w:kern w:val="0"/>
                <w:vertAlign w:val="superscript"/>
              </w:rPr>
              <w:t>Note</w:t>
            </w:r>
            <w:r w:rsidR="001D7D25">
              <w:rPr>
                <w:kern w:val="0"/>
                <w:vertAlign w:val="superscript"/>
              </w:rPr>
              <w:t xml:space="preserve"> </w:t>
            </w:r>
            <w:r w:rsidRPr="001D7D25">
              <w:rPr>
                <w:kern w:val="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6CBBB041" w:rsidR="001F2317" w:rsidRPr="00575B70" w:rsidRDefault="0074414F" w:rsidP="001F2317">
            <w:pPr>
              <w:widowControl/>
              <w:jc w:val="center"/>
              <w:rPr>
                <w:spacing w:val="30"/>
              </w:rPr>
            </w:pPr>
            <w:r>
              <w:t xml:space="preserve">16 </w:t>
            </w:r>
            <w:r w:rsidR="00CA25C8">
              <w:t>417</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59623F58" w:rsidR="001F2317" w:rsidRPr="00575B70" w:rsidRDefault="0074414F" w:rsidP="001F2317">
            <w:pPr>
              <w:widowControl/>
              <w:jc w:val="center"/>
              <w:rPr>
                <w:spacing w:val="30"/>
              </w:rPr>
            </w:pPr>
            <w:r>
              <w:t xml:space="preserve">1 </w:t>
            </w:r>
            <w:r w:rsidR="00CA25C8">
              <w:t>906</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4EC85663" w:rsidR="001F2317" w:rsidRPr="00BD4F88" w:rsidRDefault="003801F8" w:rsidP="001F2317">
            <w:pPr>
              <w:widowControl/>
              <w:jc w:val="center"/>
              <w:rPr>
                <w:rFonts w:ascii="Cambria" w:eastAsia="Cambria" w:hAnsi="Cambria"/>
                <w:b/>
                <w:bCs/>
                <w:spacing w:val="30"/>
              </w:rPr>
            </w:pPr>
            <w:r>
              <w:rPr>
                <w:b/>
                <w:bCs/>
                <w:kern w:val="0"/>
                <w:lang w:eastAsia="zh-HK"/>
              </w:rPr>
              <w:t>1</w:t>
            </w:r>
            <w:r w:rsidR="00CA25C8">
              <w:rPr>
                <w:b/>
                <w:bCs/>
                <w:kern w:val="0"/>
                <w:lang w:eastAsia="zh-HK"/>
              </w:rPr>
              <w:t>8 323</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2F8893F3"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CA25C8">
        <w:rPr>
          <w:kern w:val="0"/>
        </w:rPr>
        <w:t>31 March 2026</w:t>
      </w:r>
      <w:r w:rsidRPr="00C85507">
        <w:rPr>
          <w:kern w:val="0"/>
        </w:rPr>
        <w:t xml:space="preserve">, the average waiting times for various types of </w:t>
      </w:r>
      <w:proofErr w:type="spellStart"/>
      <w:r w:rsidRPr="00C85507">
        <w:rPr>
          <w:kern w:val="0"/>
        </w:rPr>
        <w:t>subsidised</w:t>
      </w:r>
      <w:proofErr w:type="spellEnd"/>
      <w:r w:rsidRPr="00C85507">
        <w:rPr>
          <w:kern w:val="0"/>
        </w:rPr>
        <w:t xml:space="preserve">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0808287E"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1D7D25">
              <w:rPr>
                <w:kern w:val="0"/>
                <w:vertAlign w:val="superscript"/>
              </w:rPr>
              <w:t>Note</w:t>
            </w:r>
            <w:r w:rsidR="001D7D25">
              <w:rPr>
                <w:kern w:val="0"/>
                <w:vertAlign w:val="superscript"/>
              </w:rPr>
              <w:t xml:space="preserve"> </w:t>
            </w:r>
            <w:r w:rsidR="00E80F56" w:rsidRPr="001D7D25">
              <w:rPr>
                <w:rFonts w:hint="eastAsia"/>
                <w:kern w:val="0"/>
                <w:vertAlign w:val="superscript"/>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w:t>
            </w:r>
            <w:proofErr w:type="spellStart"/>
            <w:r w:rsidRPr="00E962F2">
              <w:rPr>
                <w:kern w:val="0"/>
              </w:rPr>
              <w:t>Subvented</w:t>
            </w:r>
            <w:proofErr w:type="spellEnd"/>
            <w:r w:rsidRPr="00E962F2">
              <w:rPr>
                <w:kern w:val="0"/>
              </w:rPr>
              <w:t xml:space="preserve">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0FCCEC8F" w:rsidR="001F2317" w:rsidRPr="00575B70" w:rsidRDefault="0074414F" w:rsidP="001F2317">
            <w:pPr>
              <w:widowControl/>
              <w:jc w:val="center"/>
              <w:rPr>
                <w:spacing w:val="30"/>
              </w:rPr>
            </w:pPr>
            <w:r>
              <w:t>2</w:t>
            </w:r>
            <w:r w:rsidR="00CA25C8">
              <w:t>2</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2FA6F5D" w:rsidR="001F2317" w:rsidRPr="00575B70" w:rsidRDefault="003801F8" w:rsidP="001F2317">
            <w:pPr>
              <w:widowControl/>
              <w:jc w:val="center"/>
              <w:rPr>
                <w:spacing w:val="30"/>
              </w:rPr>
            </w:pPr>
            <w:r>
              <w:t>6</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1EED3671" w:rsidR="001F2317" w:rsidRPr="00575B70" w:rsidRDefault="0074414F" w:rsidP="001F2317">
            <w:pPr>
              <w:widowControl/>
              <w:jc w:val="center"/>
              <w:rPr>
                <w:spacing w:val="30"/>
              </w:rPr>
            </w:pPr>
            <w:r>
              <w:rPr>
                <w:spacing w:val="30"/>
              </w:rPr>
              <w:t>11</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2AC7C301"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1D7D25">
              <w:rPr>
                <w:kern w:val="0"/>
                <w:vertAlign w:val="superscript"/>
              </w:rPr>
              <w:t>Note</w:t>
            </w:r>
            <w:r w:rsidR="001D7D25">
              <w:rPr>
                <w:kern w:val="0"/>
                <w:vertAlign w:val="superscript"/>
              </w:rPr>
              <w:t xml:space="preserve"> </w:t>
            </w:r>
            <w:r w:rsidRPr="001D7D25">
              <w:rPr>
                <w:rFonts w:hint="eastAsia"/>
                <w:kern w:val="0"/>
                <w:vertAlign w:val="superscript"/>
              </w:rPr>
              <w:t>3</w:t>
            </w:r>
            <w:r w:rsidRPr="001D7D25">
              <w:rPr>
                <w:kern w:val="0"/>
                <w:vertAlign w:val="superscript"/>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09B82F88" w:rsidR="001F2317" w:rsidRPr="00575B70" w:rsidRDefault="00CA25C8" w:rsidP="001F2317">
            <w:pPr>
              <w:widowControl/>
              <w:jc w:val="center"/>
              <w:rPr>
                <w:spacing w:val="30"/>
              </w:rPr>
            </w:pPr>
            <w:r>
              <w:rPr>
                <w:spacing w:val="30"/>
              </w:rPr>
              <w:t>10</w:t>
            </w:r>
          </w:p>
        </w:tc>
      </w:tr>
    </w:tbl>
    <w:p w14:paraId="0E1F7D22" w14:textId="77777777" w:rsidR="000178A8" w:rsidRPr="00E962F2" w:rsidRDefault="000178A8" w:rsidP="000178A8"/>
    <w:p w14:paraId="69104B27" w14:textId="0EBF22C3" w:rsidR="000178A8" w:rsidRPr="00C85507" w:rsidRDefault="000178A8" w:rsidP="001D7D25">
      <w:pPr>
        <w:widowControl/>
        <w:ind w:left="698" w:hangingChars="291" w:hanging="698"/>
        <w:jc w:val="both"/>
        <w:rPr>
          <w:rFonts w:eastAsia="細明體"/>
          <w:kern w:val="0"/>
        </w:rPr>
      </w:pPr>
      <w:r w:rsidRPr="001D7D25">
        <w:rPr>
          <w:kern w:val="0"/>
          <w:vertAlign w:val="superscript"/>
        </w:rPr>
        <w:t>Note</w:t>
      </w:r>
      <w:r w:rsidR="001D7D25">
        <w:rPr>
          <w:kern w:val="0"/>
          <w:vertAlign w:val="superscript"/>
        </w:rPr>
        <w:t xml:space="preserve"> </w:t>
      </w:r>
      <w:proofErr w:type="gramStart"/>
      <w:r w:rsidRPr="001D7D25">
        <w:rPr>
          <w:kern w:val="0"/>
          <w:vertAlign w:val="superscript"/>
        </w:rPr>
        <w:t>1</w:t>
      </w:r>
      <w:r w:rsidR="00E962F2" w:rsidRPr="00E962F2">
        <w:rPr>
          <w:rFonts w:hint="eastAsia"/>
        </w:rPr>
        <w:t xml:space="preserve"> </w:t>
      </w:r>
      <w:r w:rsidR="001D7D25">
        <w:t xml:space="preserve"> </w:t>
      </w:r>
      <w:r w:rsidR="00E962F2" w:rsidRPr="00E962F2">
        <w:rPr>
          <w:rFonts w:hint="eastAsia"/>
        </w:rPr>
        <w:t>To</w:t>
      </w:r>
      <w:proofErr w:type="gramEnd"/>
      <w:r w:rsidR="00E962F2" w:rsidRPr="00E962F2">
        <w:rPr>
          <w:rFonts w:hint="eastAsia"/>
        </w:rPr>
        <w:t xml:space="preserve">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CA25C8">
        <w:rPr>
          <w:kern w:val="0"/>
        </w:rPr>
        <w:t>March</w:t>
      </w:r>
      <w:r w:rsidR="003801F8">
        <w:rPr>
          <w:kern w:val="0"/>
        </w:rPr>
        <w:t xml:space="preserve"> </w:t>
      </w:r>
      <w:r w:rsidR="00936FCE">
        <w:rPr>
          <w:kern w:val="0"/>
        </w:rPr>
        <w:t>202</w:t>
      </w:r>
      <w:r w:rsidR="008B6ADB">
        <w:rPr>
          <w:kern w:val="0"/>
        </w:rPr>
        <w:t>6</w:t>
      </w:r>
      <w:r w:rsidR="00E962F2" w:rsidRPr="00E962F2">
        <w:t xml:space="preserve">, there </w:t>
      </w:r>
      <w:r w:rsidR="00E962F2" w:rsidRPr="00E962F2">
        <w:rPr>
          <w:rFonts w:hint="eastAsia"/>
        </w:rPr>
        <w:t>were</w:t>
      </w:r>
      <w:r w:rsidR="00196934">
        <w:t xml:space="preserve"> </w:t>
      </w:r>
      <w:bookmarkStart w:id="0" w:name="_Hlk184308621"/>
      <w:r w:rsidR="00A73D0E">
        <w:t>3</w:t>
      </w:r>
      <w:r w:rsidR="008B6ADB">
        <w:t xml:space="preserve">7 </w:t>
      </w:r>
      <w:r w:rsidR="00CA25C8">
        <w:t>608</w:t>
      </w:r>
      <w:r w:rsidR="00E962F2" w:rsidRPr="00E962F2">
        <w:t xml:space="preserve"> </w:t>
      </w:r>
      <w:bookmarkEnd w:id="0"/>
      <w:r w:rsidR="00E962F2" w:rsidRPr="00E962F2">
        <w:t>“inactive” applications.</w:t>
      </w:r>
    </w:p>
    <w:p w14:paraId="31201426" w14:textId="11B59C97" w:rsidR="000178A8" w:rsidRPr="00E962F2" w:rsidRDefault="000178A8" w:rsidP="000824DB">
      <w:pPr>
        <w:ind w:left="713" w:hangingChars="297" w:hanging="713"/>
        <w:jc w:val="both"/>
        <w:rPr>
          <w:rFonts w:eastAsia="細明體"/>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2</w:t>
      </w:r>
      <w:r w:rsidR="00E962F2">
        <w:rPr>
          <w:spacing w:val="30"/>
          <w:kern w:val="0"/>
          <w:sz w:val="20"/>
          <w:szCs w:val="20"/>
          <w:vertAlign w:val="superscript"/>
          <w:lang w:eastAsia="zh-HK"/>
        </w:rPr>
        <w:t xml:space="preserve"> </w:t>
      </w:r>
      <w:r w:rsidR="001D7D25">
        <w:rPr>
          <w:spacing w:val="30"/>
          <w:kern w:val="0"/>
          <w:sz w:val="20"/>
          <w:szCs w:val="20"/>
          <w:vertAlign w:val="superscript"/>
          <w:lang w:eastAsia="zh-HK"/>
        </w:rPr>
        <w:tab/>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237787B2" w:rsidR="000178A8" w:rsidRPr="00E962F2" w:rsidRDefault="000178A8" w:rsidP="000824DB">
      <w:pPr>
        <w:ind w:leftChars="6" w:left="727" w:hangingChars="297" w:hanging="713"/>
        <w:jc w:val="both"/>
        <w:rPr>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3</w:t>
      </w:r>
      <w:r w:rsidR="000824DB">
        <w:rPr>
          <w:spacing w:val="30"/>
          <w:kern w:val="0"/>
          <w:sz w:val="20"/>
          <w:szCs w:val="20"/>
          <w:vertAlign w:val="superscript"/>
          <w:lang w:eastAsia="zh-HK"/>
        </w:rPr>
        <w:t xml:space="preserve"> </w:t>
      </w:r>
      <w:r w:rsidR="000824DB">
        <w:rPr>
          <w:spacing w:val="30"/>
          <w:kern w:val="0"/>
          <w:sz w:val="20"/>
          <w:szCs w:val="20"/>
          <w:vertAlign w:val="superscript"/>
          <w:lang w:eastAsia="zh-HK"/>
        </w:rPr>
        <w:tab/>
      </w:r>
      <w:r w:rsidRPr="00E962F2">
        <w:rPr>
          <w:kern w:val="0"/>
        </w:rPr>
        <w:t xml:space="preserve">Including </w:t>
      </w:r>
      <w:proofErr w:type="spellStart"/>
      <w:r w:rsidRPr="00E962F2">
        <w:rPr>
          <w:kern w:val="0"/>
          <w:lang w:eastAsia="zh-HK"/>
        </w:rPr>
        <w:t>subsidised</w:t>
      </w:r>
      <w:proofErr w:type="spellEnd"/>
      <w:r w:rsidRPr="00E962F2">
        <w:rPr>
          <w:kern w:val="0"/>
          <w:lang w:eastAsia="zh-HK"/>
        </w:rPr>
        <w:t xml:space="preserve"> </w:t>
      </w:r>
      <w:r w:rsidRPr="00E962F2">
        <w:rPr>
          <w:kern w:val="0"/>
        </w:rPr>
        <w:t xml:space="preserve">nursing home places provided by </w:t>
      </w:r>
      <w:proofErr w:type="spellStart"/>
      <w:r w:rsidRPr="00E962F2">
        <w:rPr>
          <w:kern w:val="0"/>
        </w:rPr>
        <w:t>subvented</w:t>
      </w:r>
      <w:proofErr w:type="spellEnd"/>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59856C45"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CA25C8">
        <w:rPr>
          <w:kern w:val="0"/>
        </w:rPr>
        <w:t>31</w:t>
      </w:r>
      <w:r w:rsidR="0074414F">
        <w:rPr>
          <w:kern w:val="0"/>
        </w:rPr>
        <w:t xml:space="preserve"> </w:t>
      </w:r>
      <w:r w:rsidR="00CA25C8">
        <w:rPr>
          <w:kern w:val="0"/>
        </w:rPr>
        <w:t>March</w:t>
      </w:r>
      <w:r w:rsidR="0074414F">
        <w:rPr>
          <w:kern w:val="0"/>
        </w:rPr>
        <w:t xml:space="preserve"> 2026</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proofErr w:type="spellStart"/>
            <w:r w:rsidRPr="00FE0F5A">
              <w:rPr>
                <w:b/>
                <w:bCs/>
                <w:color w:val="000000"/>
                <w:kern w:val="0"/>
              </w:rPr>
              <w:t>Subsidised</w:t>
            </w:r>
            <w:proofErr w:type="spellEnd"/>
            <w:r w:rsidRPr="00FE0F5A">
              <w:rPr>
                <w:b/>
                <w:bCs/>
                <w:color w:val="000000"/>
                <w:kern w:val="0"/>
              </w:rPr>
              <w:t xml:space="preserve">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0E11BC" w:rsidRPr="00FE0F5A" w14:paraId="053E48CC"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0E11BC" w:rsidRPr="00FE0F5A" w:rsidRDefault="000E11BC" w:rsidP="000E11BC">
            <w:pPr>
              <w:widowControl/>
              <w:jc w:val="right"/>
              <w:rPr>
                <w:kern w:val="0"/>
              </w:rPr>
            </w:pPr>
            <w:proofErr w:type="spellStart"/>
            <w:r w:rsidRPr="00FE0F5A">
              <w:rPr>
                <w:kern w:val="0"/>
              </w:rPr>
              <w:t>Subvented</w:t>
            </w:r>
            <w:proofErr w:type="spellEnd"/>
            <w:r w:rsidRPr="00FE0F5A">
              <w:rPr>
                <w:kern w:val="0"/>
              </w:rPr>
              <w:t xml:space="preserve">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2A9E2F17" w:rsidR="000E11BC" w:rsidRPr="00515A91" w:rsidRDefault="00515A91" w:rsidP="000E11BC">
            <w:pPr>
              <w:widowControl/>
              <w:jc w:val="center"/>
            </w:pPr>
            <w:r w:rsidRPr="00515A91">
              <w:t>1/2026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2D22DA27" w:rsidR="000E11BC" w:rsidRPr="00515A91" w:rsidRDefault="000E11BC" w:rsidP="000E11BC">
            <w:pPr>
              <w:jc w:val="center"/>
            </w:pPr>
            <w:r w:rsidRPr="00515A91">
              <w:t>7/2025</w:t>
            </w:r>
          </w:p>
        </w:tc>
      </w:tr>
      <w:tr w:rsidR="000E11BC" w:rsidRPr="00FE0F5A" w14:paraId="594486A0"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0E11BC" w:rsidRPr="00FE0F5A" w:rsidRDefault="000E11BC" w:rsidP="000E11BC">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02959CDA" w:rsidR="000E11BC" w:rsidRPr="00515A91" w:rsidRDefault="00515A91" w:rsidP="000E11BC">
            <w:pPr>
              <w:widowControl/>
              <w:jc w:val="center"/>
            </w:pPr>
            <w:r w:rsidRPr="00515A91">
              <w:t>3/2026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667FCA68" w:rsidR="000E11BC" w:rsidRPr="00515A91" w:rsidRDefault="00515A91" w:rsidP="000E11BC">
            <w:pPr>
              <w:widowControl/>
              <w:jc w:val="center"/>
            </w:pPr>
            <w:r w:rsidRPr="00515A91">
              <w:t>2/2026</w:t>
            </w:r>
          </w:p>
        </w:tc>
      </w:tr>
      <w:tr w:rsidR="000E11BC" w:rsidRPr="00FE0F5A" w14:paraId="64061904"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ADE4CB9" w:rsidR="000E11BC" w:rsidRPr="00FE0F5A" w:rsidRDefault="000E11BC" w:rsidP="000E11BC">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1D7D25">
              <w:rPr>
                <w:rFonts w:hint="eastAsia"/>
                <w:kern w:val="0"/>
                <w:vertAlign w:val="superscript"/>
              </w:rPr>
              <w:t>Note</w:t>
            </w:r>
            <w:r w:rsidR="001D7D25">
              <w:rPr>
                <w:kern w:val="0"/>
                <w:vertAlign w:val="superscript"/>
              </w:rPr>
              <w:t xml:space="preserve"> </w:t>
            </w:r>
            <w:r w:rsidRPr="001D7D25">
              <w:rPr>
                <w:rFonts w:hint="eastAsia"/>
                <w:kern w:val="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38758F63" w:rsidR="000E11BC" w:rsidRPr="00515A91" w:rsidRDefault="00515A91" w:rsidP="000E11BC">
            <w:pPr>
              <w:widowControl/>
              <w:jc w:val="center"/>
            </w:pPr>
            <w:r w:rsidRPr="00515A91">
              <w:t>3</w:t>
            </w:r>
            <w:r w:rsidR="000E11BC" w:rsidRPr="00515A91">
              <w:t>/202</w:t>
            </w:r>
            <w:r w:rsidR="0074414F" w:rsidRPr="00515A91">
              <w:t>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6B3E7383" w:rsidR="000E11BC" w:rsidRPr="00515A91" w:rsidRDefault="0074414F" w:rsidP="000E11BC">
            <w:pPr>
              <w:widowControl/>
              <w:jc w:val="center"/>
            </w:pPr>
            <w:r w:rsidRPr="00515A91">
              <w:t>1</w:t>
            </w:r>
            <w:r w:rsidR="000E11BC" w:rsidRPr="00515A91">
              <w:t>/202</w:t>
            </w:r>
            <w:r w:rsidRPr="00515A91">
              <w:t>6</w:t>
            </w:r>
          </w:p>
        </w:tc>
      </w:tr>
    </w:tbl>
    <w:p w14:paraId="58FAAAAF" w14:textId="77777777" w:rsidR="000178A8" w:rsidRPr="00FE0F5A" w:rsidRDefault="000178A8" w:rsidP="000178A8">
      <w:pPr>
        <w:ind w:left="600" w:hangingChars="250" w:hanging="600"/>
        <w:jc w:val="both"/>
      </w:pPr>
    </w:p>
    <w:p w14:paraId="2372DB8F" w14:textId="59ED7779" w:rsidR="000178A8" w:rsidRPr="00710539" w:rsidRDefault="001D7D25" w:rsidP="000824DB">
      <w:pPr>
        <w:ind w:leftChars="6" w:left="727" w:hangingChars="297" w:hanging="713"/>
        <w:jc w:val="both"/>
        <w:rPr>
          <w:kern w:val="0"/>
        </w:rPr>
      </w:pPr>
      <w:r w:rsidRPr="001D7D25">
        <w:rPr>
          <w:rFonts w:hint="eastAsia"/>
          <w:kern w:val="0"/>
          <w:vertAlign w:val="superscript"/>
        </w:rPr>
        <w:t>Note</w:t>
      </w:r>
      <w:r>
        <w:rPr>
          <w:kern w:val="0"/>
          <w:vertAlign w:val="superscript"/>
        </w:rPr>
        <w:t xml:space="preserve"> </w:t>
      </w:r>
      <w:r w:rsidRPr="001D7D25">
        <w:rPr>
          <w:rFonts w:hint="eastAsia"/>
          <w:kern w:val="0"/>
          <w:vertAlign w:val="superscript"/>
        </w:rPr>
        <w:t>1</w:t>
      </w:r>
      <w:r w:rsidR="00E962F2">
        <w:rPr>
          <w:spacing w:val="30"/>
          <w:kern w:val="0"/>
          <w:sz w:val="20"/>
          <w:szCs w:val="20"/>
          <w:vertAlign w:val="superscript"/>
        </w:rPr>
        <w:t xml:space="preserve"> </w:t>
      </w:r>
      <w:r w:rsidR="000824DB">
        <w:rPr>
          <w:spacing w:val="30"/>
          <w:kern w:val="0"/>
          <w:sz w:val="20"/>
          <w:szCs w:val="20"/>
          <w:vertAlign w:val="superscript"/>
        </w:rPr>
        <w:tab/>
      </w:r>
      <w:r w:rsidR="000178A8" w:rsidRPr="00FE0F5A">
        <w:rPr>
          <w:kern w:val="0"/>
        </w:rPr>
        <w:t xml:space="preserve">Including </w:t>
      </w:r>
      <w:proofErr w:type="spellStart"/>
      <w:r w:rsidR="000178A8" w:rsidRPr="00FE0F5A">
        <w:rPr>
          <w:kern w:val="0"/>
          <w:lang w:eastAsia="zh-HK"/>
        </w:rPr>
        <w:t>subsidised</w:t>
      </w:r>
      <w:proofErr w:type="spellEnd"/>
      <w:r w:rsidR="000178A8" w:rsidRPr="00FE0F5A">
        <w:rPr>
          <w:kern w:val="0"/>
          <w:lang w:eastAsia="zh-HK"/>
        </w:rPr>
        <w:t xml:space="preserve"> </w:t>
      </w:r>
      <w:r w:rsidR="000178A8" w:rsidRPr="00FE0F5A">
        <w:rPr>
          <w:kern w:val="0"/>
        </w:rPr>
        <w:t xml:space="preserve">nursing home places provided by </w:t>
      </w:r>
      <w:proofErr w:type="spellStart"/>
      <w:r w:rsidR="000178A8" w:rsidRPr="00FE0F5A">
        <w:rPr>
          <w:kern w:val="0"/>
        </w:rPr>
        <w:t>subvented</w:t>
      </w:r>
      <w:proofErr w:type="spellEnd"/>
      <w:r w:rsidR="000178A8" w:rsidRPr="00FE0F5A">
        <w:rPr>
          <w:kern w:val="0"/>
          <w:lang w:eastAsia="zh-HK"/>
        </w:rPr>
        <w:t xml:space="preserve"> nursing homes, </w:t>
      </w:r>
      <w:r w:rsidR="000178A8" w:rsidRPr="00FE0F5A">
        <w:rPr>
          <w:kern w:val="0"/>
        </w:rPr>
        <w:t>self-financing nursing homes and contract homes</w:t>
      </w:r>
      <w:r w:rsidR="000178A8"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DF04" w14:textId="77777777" w:rsidR="00947F45" w:rsidRDefault="00947F45" w:rsidP="00A2709F">
      <w:r>
        <w:separator/>
      </w:r>
    </w:p>
  </w:endnote>
  <w:endnote w:type="continuationSeparator" w:id="0">
    <w:p w14:paraId="0FE539B5" w14:textId="77777777" w:rsidR="00947F45" w:rsidRDefault="00947F45"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E8423" w14:textId="77777777" w:rsidR="00947F45" w:rsidRDefault="00947F45" w:rsidP="00A2709F">
      <w:r>
        <w:separator/>
      </w:r>
    </w:p>
  </w:footnote>
  <w:footnote w:type="continuationSeparator" w:id="0">
    <w:p w14:paraId="5B6D7C80" w14:textId="77777777" w:rsidR="00947F45" w:rsidRDefault="00947F45"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描述: bullet1" style="width:11.5pt;height:11.5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24D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11BC"/>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D7D25"/>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08C9"/>
    <w:rsid w:val="004F2A28"/>
    <w:rsid w:val="004F782C"/>
    <w:rsid w:val="00507CCC"/>
    <w:rsid w:val="005131D9"/>
    <w:rsid w:val="00515A91"/>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4414F"/>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B6ADB"/>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47F45"/>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282D"/>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42E"/>
    <w:rsid w:val="00C73F34"/>
    <w:rsid w:val="00C7723E"/>
    <w:rsid w:val="00C80A1E"/>
    <w:rsid w:val="00C85507"/>
    <w:rsid w:val="00C86A47"/>
    <w:rsid w:val="00C93979"/>
    <w:rsid w:val="00C97F6F"/>
    <w:rsid w:val="00CA25C8"/>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76D8D"/>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E3D09"/>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2026-04-10T07:22:00Z</dcterms:modified>
</cp:coreProperties>
</file>