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5D009" w14:textId="77777777" w:rsidR="001C5720" w:rsidRDefault="001C5720" w:rsidP="001C5720">
      <w:pPr>
        <w:pStyle w:val="B12C"/>
        <w:rPr>
          <w:rFonts w:ascii="新細明體" w:eastAsia="新細明體"/>
          <w:u w:val="none"/>
        </w:rPr>
      </w:pPr>
      <w:r>
        <w:rPr>
          <w:rFonts w:ascii="新細明體" w:eastAsia="新細明體" w:hint="eastAsia"/>
          <w:b/>
          <w:bCs/>
          <w:spacing w:val="10"/>
          <w:sz w:val="28"/>
          <w:szCs w:val="28"/>
        </w:rPr>
        <w:t>綜援長者廣東及福建省養老計劃</w:t>
      </w:r>
      <w:r>
        <w:rPr>
          <w:rFonts w:ascii="新細明體" w:eastAsia="新細明體" w:hint="eastAsia"/>
          <w:b/>
          <w:bCs/>
          <w:spacing w:val="10"/>
          <w:sz w:val="28"/>
          <w:szCs w:val="28"/>
          <w:u w:val="none"/>
        </w:rPr>
        <w:t xml:space="preserve">  </w:t>
      </w:r>
      <w:r>
        <w:rPr>
          <w:rFonts w:ascii="新細明體" w:eastAsia="新細明體"/>
          <w:b/>
          <w:bCs/>
          <w:spacing w:val="10"/>
          <w:sz w:val="28"/>
          <w:szCs w:val="28"/>
          <w:u w:val="none"/>
        </w:rPr>
        <w:t> </w:t>
      </w:r>
      <w:r>
        <w:rPr>
          <w:rFonts w:ascii="新細明體" w:eastAsia="新細明體" w:hint="eastAsia"/>
          <w:b/>
          <w:bCs/>
          <w:spacing w:val="10"/>
          <w:u w:val="none"/>
        </w:rPr>
        <w:br/>
      </w:r>
    </w:p>
    <w:p w14:paraId="143AEF3F" w14:textId="77777777" w:rsidR="001C5720" w:rsidRDefault="001C5720" w:rsidP="001C5720">
      <w:pPr>
        <w:ind w:firstLine="0"/>
        <w:rPr>
          <w:rFonts w:ascii="新細明體" w:eastAsia="新細明體"/>
          <w:spacing w:val="10"/>
          <w:u w:val="single"/>
        </w:rPr>
      </w:pPr>
      <w:r>
        <w:rPr>
          <w:rFonts w:ascii="新細明體" w:eastAsia="新細明體" w:hint="eastAsia"/>
          <w:b/>
          <w:bCs/>
          <w:spacing w:val="10"/>
          <w:u w:val="single"/>
        </w:rPr>
        <w:t>引言</w:t>
      </w:r>
    </w:p>
    <w:p w14:paraId="33F8EEAC" w14:textId="77777777" w:rsidR="001C5720" w:rsidRDefault="001C5720" w:rsidP="001C5720">
      <w:pPr>
        <w:ind w:firstLine="0"/>
        <w:rPr>
          <w:rFonts w:ascii="新細明體" w:eastAsia="新細明體"/>
        </w:rPr>
      </w:pPr>
      <w:r>
        <w:rPr>
          <w:rFonts w:ascii="新細明體" w:eastAsia="新細明體" w:hint="eastAsia"/>
        </w:rPr>
        <w:t>一.</w:t>
      </w:r>
      <w:r>
        <w:rPr>
          <w:rFonts w:ascii="新細明體" w:eastAsia="新細明體" w:hint="eastAsia"/>
        </w:rPr>
        <w:tab/>
      </w:r>
      <w:r>
        <w:rPr>
          <w:rFonts w:ascii="新細明體" w:eastAsia="新細明體" w:hint="eastAsia"/>
        </w:rPr>
        <w:tab/>
        <w:t>綜援長者廣東及福建省養老計劃的目的是為符合申請資格，並選擇到廣東或福建省養老的綜援受助長者繼續提供現金援助。</w:t>
      </w:r>
    </w:p>
    <w:p w14:paraId="6FE90B75" w14:textId="77777777" w:rsidR="001C5720" w:rsidRDefault="001C5720" w:rsidP="001C5720">
      <w:pPr>
        <w:ind w:firstLine="0"/>
        <w:rPr>
          <w:rFonts w:ascii="新細明體" w:eastAsia="新細明體"/>
        </w:rPr>
      </w:pPr>
      <w:r>
        <w:rPr>
          <w:rFonts w:ascii="新細明體" w:eastAsia="新細明體" w:hint="eastAsia"/>
        </w:rPr>
        <w:t>二.</w:t>
      </w:r>
      <w:r>
        <w:rPr>
          <w:rFonts w:ascii="新細明體" w:eastAsia="新細明體" w:hint="eastAsia"/>
        </w:rPr>
        <w:tab/>
      </w:r>
      <w:r>
        <w:rPr>
          <w:rFonts w:ascii="新細明體" w:eastAsia="新細明體" w:hint="eastAsia"/>
        </w:rPr>
        <w:tab/>
        <w:t>本單張概述</w:t>
      </w:r>
      <w:r>
        <w:rPr>
          <w:rFonts w:ascii="新細明體" w:eastAsia="新細明體" w:hint="eastAsia"/>
          <w:spacing w:val="10"/>
        </w:rPr>
        <w:t>綜援長者廣東及福建省養老計劃</w:t>
      </w:r>
      <w:r>
        <w:rPr>
          <w:rFonts w:ascii="新細明體" w:eastAsia="新細明體" w:hint="eastAsia"/>
        </w:rPr>
        <w:t>的主要特點。社會福利署(以下簡稱「社署」)各社會保障辦事處另備有「</w:t>
      </w:r>
      <w:r>
        <w:rPr>
          <w:rFonts w:ascii="新細明體" w:eastAsia="新細明體" w:hint="eastAsia"/>
          <w:spacing w:val="10"/>
        </w:rPr>
        <w:t>綜援長者廣東及福建省養老計劃</w:t>
      </w:r>
      <w:r>
        <w:rPr>
          <w:rFonts w:ascii="新細明體" w:eastAsia="新細明體" w:hint="eastAsia"/>
        </w:rPr>
        <w:t>申請人須知</w:t>
      </w:r>
      <w:r>
        <w:rPr>
          <w:rFonts w:ascii="新細明體" w:eastAsia="新細明體" w:hint="eastAsia"/>
          <w:spacing w:val="10"/>
        </w:rPr>
        <w:t>」小冊子</w:t>
      </w:r>
      <w:r>
        <w:rPr>
          <w:rFonts w:ascii="新細明體" w:eastAsia="新細明體" w:hint="eastAsia"/>
        </w:rPr>
        <w:t>，詳列有關資料，可供索閱。</w:t>
      </w:r>
    </w:p>
    <w:p w14:paraId="5A697293" w14:textId="77777777" w:rsidR="001C5720" w:rsidRDefault="001C5720" w:rsidP="001C5720">
      <w:pPr>
        <w:ind w:firstLine="0"/>
        <w:rPr>
          <w:rFonts w:ascii="新細明體" w:eastAsia="新細明體"/>
          <w:b/>
          <w:bCs/>
        </w:rPr>
      </w:pPr>
      <w:r>
        <w:rPr>
          <w:rFonts w:ascii="新細明體" w:eastAsia="新細明體" w:hint="eastAsia"/>
          <w:b/>
          <w:bCs/>
          <w:u w:val="single"/>
        </w:rPr>
        <w:t>申請</w:t>
      </w:r>
      <w:r>
        <w:rPr>
          <w:rFonts w:ascii="新細明體" w:eastAsia="新細明體" w:hint="eastAsia"/>
          <w:b/>
          <w:bCs/>
          <w:spacing w:val="10"/>
          <w:u w:val="single"/>
        </w:rPr>
        <w:t>資格</w:t>
      </w:r>
    </w:p>
    <w:p w14:paraId="1A5D60F9" w14:textId="77777777" w:rsidR="001C5720" w:rsidRDefault="001C5720" w:rsidP="001C5720">
      <w:pPr>
        <w:ind w:firstLine="0"/>
        <w:rPr>
          <w:rFonts w:ascii="新細明體" w:eastAsia="新細明體"/>
        </w:rPr>
      </w:pPr>
      <w:r>
        <w:rPr>
          <w:rFonts w:ascii="新細明體" w:eastAsia="新細明體" w:hint="eastAsia"/>
        </w:rPr>
        <w:t>三.</w:t>
      </w:r>
      <w:r>
        <w:rPr>
          <w:rFonts w:ascii="新細明體" w:eastAsia="新細明體" w:hint="eastAsia"/>
        </w:rPr>
        <w:tab/>
      </w:r>
      <w:r>
        <w:rPr>
          <w:rFonts w:ascii="新細明體" w:eastAsia="新細明體" w:hint="eastAsia"/>
        </w:rPr>
        <w:tab/>
        <w:t>要符合</w:t>
      </w:r>
      <w:r>
        <w:rPr>
          <w:rFonts w:ascii="新細明體" w:eastAsia="新細明體" w:hint="eastAsia"/>
          <w:spacing w:val="10"/>
        </w:rPr>
        <w:t>綜援長者廣東及福建省養老計劃的申請資格</w:t>
      </w:r>
      <w:r>
        <w:rPr>
          <w:rFonts w:ascii="新細明體" w:eastAsia="新細明體" w:hint="eastAsia"/>
        </w:rPr>
        <w:t>，申請人除必須通過綜援計劃的入息及資產審查外，還須：</w:t>
      </w:r>
    </w:p>
    <w:p w14:paraId="0B5DF5B2" w14:textId="77777777" w:rsidR="001C5720" w:rsidRDefault="001C5720" w:rsidP="001C5720">
      <w:pPr>
        <w:numPr>
          <w:ilvl w:val="0"/>
          <w:numId w:val="1"/>
        </w:numPr>
        <w:rPr>
          <w:rFonts w:ascii="新細明體" w:eastAsia="新細明體"/>
        </w:rPr>
      </w:pPr>
      <w:r>
        <w:rPr>
          <w:rFonts w:ascii="新細明體" w:eastAsia="新細明體" w:hint="eastAsia"/>
        </w:rPr>
        <w:t>是香港永久居民，在本港居住最少七年；</w:t>
      </w:r>
    </w:p>
    <w:p w14:paraId="2EA75AD9" w14:textId="77777777" w:rsidR="001C5720" w:rsidRDefault="001C5720" w:rsidP="00B7725C">
      <w:pPr>
        <w:numPr>
          <w:ilvl w:val="0"/>
          <w:numId w:val="1"/>
        </w:numPr>
        <w:rPr>
          <w:rFonts w:ascii="新細明體" w:eastAsia="新細明體"/>
        </w:rPr>
      </w:pPr>
      <w:r>
        <w:rPr>
          <w:rFonts w:ascii="新細明體" w:eastAsia="新細明體" w:hint="eastAsia"/>
        </w:rPr>
        <w:t xml:space="preserve">年齡65歲或以上； </w:t>
      </w:r>
    </w:p>
    <w:p w14:paraId="6554FE9D" w14:textId="77777777" w:rsidR="001C5720" w:rsidRDefault="001C5720" w:rsidP="001C5720">
      <w:pPr>
        <w:numPr>
          <w:ilvl w:val="0"/>
          <w:numId w:val="1"/>
        </w:numPr>
        <w:ind w:left="1680" w:hanging="600"/>
        <w:rPr>
          <w:rFonts w:ascii="新細明體" w:eastAsia="新細明體"/>
        </w:rPr>
      </w:pPr>
      <w:r>
        <w:rPr>
          <w:rFonts w:ascii="新細明體" w:eastAsia="新細明體" w:hint="eastAsia"/>
        </w:rPr>
        <w:t>在緊接申請日前，已連續領取綜援金最少一年(在該年內如曾停止領取綜援金合共不超過10天，亦視為符合這項規定) ；以及</w:t>
      </w:r>
    </w:p>
    <w:p w14:paraId="08B8A754" w14:textId="77777777" w:rsidR="001C5720" w:rsidRDefault="001C5720" w:rsidP="001C5720">
      <w:pPr>
        <w:numPr>
          <w:ilvl w:val="0"/>
          <w:numId w:val="1"/>
        </w:numPr>
        <w:ind w:left="1680" w:hanging="600"/>
        <w:rPr>
          <w:rFonts w:ascii="新細明體" w:eastAsia="新細明體"/>
        </w:rPr>
      </w:pPr>
      <w:r>
        <w:rPr>
          <w:rFonts w:ascii="新細明體" w:eastAsia="新細明體" w:hint="eastAsia"/>
        </w:rPr>
        <w:t>於領取此計劃的援助金期間，在廣東或福建省居住。</w:t>
      </w:r>
    </w:p>
    <w:p w14:paraId="2EF7F046" w14:textId="77777777" w:rsidR="001C5720" w:rsidRDefault="001C5720" w:rsidP="001C5720">
      <w:pPr>
        <w:ind w:left="1680" w:firstLine="0"/>
        <w:rPr>
          <w:rFonts w:ascii="新細明體" w:eastAsia="新細明體"/>
        </w:rPr>
      </w:pPr>
    </w:p>
    <w:p w14:paraId="78C96E17" w14:textId="77777777" w:rsidR="001C5720" w:rsidRDefault="001C5720" w:rsidP="001C5720">
      <w:pPr>
        <w:ind w:firstLine="0"/>
        <w:rPr>
          <w:rFonts w:ascii="新細明體" w:eastAsia="新細明體"/>
        </w:rPr>
      </w:pPr>
      <w:r>
        <w:rPr>
          <w:rFonts w:ascii="新細明體" w:eastAsia="新細明體" w:hint="eastAsia"/>
        </w:rPr>
        <w:t>四.</w:t>
      </w:r>
      <w:r>
        <w:rPr>
          <w:rFonts w:ascii="新細明體" w:eastAsia="新細明體" w:hint="eastAsia"/>
        </w:rPr>
        <w:tab/>
      </w:r>
      <w:r>
        <w:rPr>
          <w:rFonts w:ascii="新細明體" w:eastAsia="新細明體" w:hint="eastAsia"/>
        </w:rPr>
        <w:tab/>
        <w:t>此外，申請人必須申報預算離港到廣東或福建省長期居住的日期。該日期必須是申請此計劃</w:t>
      </w:r>
      <w:r>
        <w:rPr>
          <w:rFonts w:ascii="新細明體" w:eastAsia="新細明體" w:hint="eastAsia"/>
          <w:spacing w:val="10"/>
        </w:rPr>
        <w:t>援</w:t>
      </w:r>
      <w:r>
        <w:rPr>
          <w:rFonts w:ascii="新細明體" w:eastAsia="新細明體" w:hint="eastAsia"/>
        </w:rPr>
        <w:t>助日期起計的三個月內。</w:t>
      </w:r>
    </w:p>
    <w:p w14:paraId="62915F31" w14:textId="77777777" w:rsidR="00B7725C" w:rsidRDefault="001C5720" w:rsidP="001C5720">
      <w:pPr>
        <w:ind w:firstLine="0"/>
        <w:rPr>
          <w:rFonts w:ascii="新細明體" w:eastAsia="新細明體"/>
        </w:rPr>
      </w:pPr>
      <w:r>
        <w:rPr>
          <w:rFonts w:ascii="新細明體" w:eastAsia="新細明體" w:hint="eastAsia"/>
        </w:rPr>
        <w:t>五.</w:t>
      </w:r>
      <w:r>
        <w:rPr>
          <w:rFonts w:ascii="新細明體" w:eastAsia="新細明體" w:hint="eastAsia"/>
        </w:rPr>
        <w:tab/>
      </w:r>
      <w:r>
        <w:rPr>
          <w:rFonts w:ascii="新細明體" w:eastAsia="新細明體" w:hint="eastAsia"/>
        </w:rPr>
        <w:tab/>
        <w:t>如申請人是公屋住戶，則必須在離港前交回所租住的公屋單位或取消租約上的戶籍。</w:t>
      </w:r>
    </w:p>
    <w:p w14:paraId="7DFDB7EF" w14:textId="77777777" w:rsidR="001C5720" w:rsidRDefault="001C5720" w:rsidP="001C5720">
      <w:pPr>
        <w:ind w:firstLine="0"/>
        <w:rPr>
          <w:rFonts w:ascii="新細明體" w:eastAsia="新細明體"/>
          <w:b/>
          <w:bCs/>
          <w:u w:val="single"/>
        </w:rPr>
      </w:pPr>
      <w:r>
        <w:rPr>
          <w:rFonts w:ascii="新細明體" w:eastAsia="新細明體" w:hint="eastAsia"/>
          <w:b/>
          <w:bCs/>
          <w:u w:val="single"/>
        </w:rPr>
        <w:t>援助金額</w:t>
      </w:r>
    </w:p>
    <w:p w14:paraId="09864390" w14:textId="77777777" w:rsidR="001C5720" w:rsidRDefault="001C5720" w:rsidP="001C5720">
      <w:pPr>
        <w:ind w:firstLine="0"/>
        <w:rPr>
          <w:rFonts w:ascii="新細明體" w:eastAsia="新細明體"/>
        </w:rPr>
      </w:pPr>
      <w:r>
        <w:rPr>
          <w:rFonts w:ascii="新細明體" w:eastAsia="新細明體" w:hint="eastAsia"/>
        </w:rPr>
        <w:t>六.</w:t>
      </w:r>
      <w:r>
        <w:rPr>
          <w:rFonts w:ascii="新細明體" w:eastAsia="新細明體" w:hint="eastAsia"/>
        </w:rPr>
        <w:tab/>
      </w:r>
      <w:r>
        <w:rPr>
          <w:rFonts w:ascii="新細明體" w:eastAsia="新細明體" w:hint="eastAsia"/>
        </w:rPr>
        <w:tab/>
        <w:t>符合資格的申請人，可獲每月發放一次的標準金額及每年發放一次的長期個案補助金，但</w:t>
      </w:r>
      <w:r>
        <w:rPr>
          <w:rFonts w:ascii="新細明體" w:eastAsia="新細明體" w:hint="eastAsia"/>
          <w:u w:val="single"/>
        </w:rPr>
        <w:t>不會</w:t>
      </w:r>
      <w:r>
        <w:rPr>
          <w:rFonts w:ascii="新細明體" w:eastAsia="新細明體" w:hint="eastAsia"/>
        </w:rPr>
        <w:t>獲發特別津貼或其他援助金(例如租金津貼、特別膳食津貼、交通費用津貼)。</w:t>
      </w:r>
    </w:p>
    <w:p w14:paraId="7EDAA8FA" w14:textId="77777777" w:rsidR="001C5720" w:rsidRDefault="001C5720" w:rsidP="001C5720">
      <w:pPr>
        <w:ind w:firstLine="0"/>
        <w:rPr>
          <w:rFonts w:ascii="新細明體" w:eastAsia="新細明體"/>
        </w:rPr>
      </w:pPr>
      <w:r>
        <w:rPr>
          <w:rFonts w:ascii="新細明體" w:eastAsia="新細明體" w:hint="eastAsia"/>
        </w:rPr>
        <w:lastRenderedPageBreak/>
        <w:t>七.</w:t>
      </w:r>
      <w:r>
        <w:rPr>
          <w:rFonts w:ascii="新細明體" w:eastAsia="新細明體" w:hint="eastAsia"/>
        </w:rPr>
        <w:tab/>
      </w:r>
      <w:r>
        <w:rPr>
          <w:rFonts w:ascii="新細明體" w:eastAsia="新細明體" w:hint="eastAsia"/>
        </w:rPr>
        <w:tab/>
        <w:t>如受助人不幸去世，負責其殮葬事宜的親友，在有需要時，可向社署申請殮葬費津貼。殮葬費津貼的申請人須在受助人去世後的六個月內提出申請並呈交所需文件。如殮葬費津貼的申請人居於</w:t>
      </w:r>
      <w:r>
        <w:rPr>
          <w:rFonts w:ascii="新細明體" w:eastAsia="新細明體" w:hint="eastAsia"/>
          <w:spacing w:val="10"/>
        </w:rPr>
        <w:t>廣東或福建省</w:t>
      </w:r>
      <w:r>
        <w:rPr>
          <w:rFonts w:ascii="新細明體" w:eastAsia="新細明體" w:hint="eastAsia"/>
        </w:rPr>
        <w:t>，其申請可由社署的代理機構協助辦理(有關社署代理機構的資料，請參閱「</w:t>
      </w:r>
      <w:r>
        <w:rPr>
          <w:rFonts w:ascii="新細明體" w:eastAsia="新細明體" w:hint="eastAsia"/>
          <w:spacing w:val="10"/>
        </w:rPr>
        <w:t>綜援長者廣東及福建省養老計劃</w:t>
      </w:r>
      <w:r>
        <w:rPr>
          <w:rFonts w:ascii="新細明體" w:eastAsia="新細明體" w:hint="eastAsia"/>
        </w:rPr>
        <w:t>申請人須知」小冊子)。</w:t>
      </w:r>
    </w:p>
    <w:p w14:paraId="25916B78" w14:textId="77777777" w:rsidR="001C5720" w:rsidRDefault="001C5720" w:rsidP="001C5720">
      <w:pPr>
        <w:ind w:firstLine="0"/>
        <w:rPr>
          <w:rFonts w:ascii="新細明體" w:eastAsia="新細明體"/>
        </w:rPr>
      </w:pPr>
      <w:r>
        <w:rPr>
          <w:rFonts w:ascii="新細明體" w:eastAsia="新細明體" w:hint="eastAsia"/>
          <w:b/>
          <w:bCs/>
          <w:u w:val="single"/>
        </w:rPr>
        <w:t>申請手續</w:t>
      </w:r>
    </w:p>
    <w:p w14:paraId="56D49CC1" w14:textId="77777777" w:rsidR="001C5720" w:rsidRDefault="001C5720" w:rsidP="001C5720">
      <w:pPr>
        <w:ind w:firstLine="0"/>
        <w:rPr>
          <w:rFonts w:ascii="新細明體" w:eastAsia="新細明體"/>
        </w:rPr>
      </w:pPr>
      <w:r>
        <w:rPr>
          <w:rFonts w:ascii="新細明體" w:eastAsia="新細明體" w:hint="eastAsia"/>
        </w:rPr>
        <w:t>八.</w:t>
      </w:r>
      <w:r>
        <w:rPr>
          <w:rFonts w:ascii="新細明體" w:eastAsia="新細明體" w:hint="eastAsia"/>
        </w:rPr>
        <w:tab/>
      </w:r>
      <w:r>
        <w:rPr>
          <w:rFonts w:ascii="新細明體" w:eastAsia="新細明體" w:hint="eastAsia"/>
        </w:rPr>
        <w:tab/>
        <w:t>申請人必須在香港辦理申請手續。申請人應帶備有關文件，前往處理其綜援個案的社會保障辦事處提出申請。如申請人行動不便，可用電話或郵遞方式提出申請。社署職員會安排家訪，為申請人辦理申請手續。</w:t>
      </w:r>
    </w:p>
    <w:p w14:paraId="358E80DD" w14:textId="77777777" w:rsidR="001C5720" w:rsidRDefault="001C5720" w:rsidP="001C5720">
      <w:pPr>
        <w:ind w:firstLine="0"/>
        <w:rPr>
          <w:rFonts w:ascii="新細明體" w:eastAsia="新細明體"/>
        </w:rPr>
      </w:pPr>
      <w:r>
        <w:rPr>
          <w:rFonts w:ascii="新細明體" w:eastAsia="新細明體" w:hint="eastAsia"/>
          <w:b/>
          <w:bCs/>
          <w:u w:val="single"/>
        </w:rPr>
        <w:t>發放援助金的方法</w:t>
      </w:r>
    </w:p>
    <w:p w14:paraId="36F27594" w14:textId="77777777" w:rsidR="001C5720" w:rsidRDefault="001C5720" w:rsidP="001C5720">
      <w:pPr>
        <w:ind w:firstLine="0"/>
        <w:rPr>
          <w:rFonts w:ascii="新細明體" w:eastAsia="新細明體"/>
        </w:rPr>
      </w:pPr>
      <w:r>
        <w:rPr>
          <w:rFonts w:ascii="新細明體" w:eastAsia="新細明體" w:hint="eastAsia"/>
        </w:rPr>
        <w:t>九.</w:t>
      </w:r>
      <w:r>
        <w:rPr>
          <w:rFonts w:ascii="新細明體" w:eastAsia="新細明體" w:hint="eastAsia"/>
        </w:rPr>
        <w:tab/>
      </w:r>
      <w:r>
        <w:rPr>
          <w:rFonts w:ascii="新細明體" w:eastAsia="新細明體" w:hint="eastAsia"/>
        </w:rPr>
        <w:tab/>
        <w:t>此</w:t>
      </w:r>
      <w:r>
        <w:rPr>
          <w:rFonts w:ascii="新細明體" w:eastAsia="新細明體" w:hint="eastAsia"/>
          <w:spacing w:val="10"/>
        </w:rPr>
        <w:t>計劃的援</w:t>
      </w:r>
      <w:r>
        <w:rPr>
          <w:rFonts w:ascii="新細明體" w:eastAsia="新細明體" w:hint="eastAsia"/>
        </w:rPr>
        <w:t>助金會按月存入符合資格的申請人／受委人所指定的香港銀行戶口。申請人／受委人須自行安排從上述戶口提取</w:t>
      </w:r>
      <w:r>
        <w:rPr>
          <w:rFonts w:ascii="新細明體" w:eastAsia="新細明體" w:hint="eastAsia"/>
          <w:spacing w:val="10"/>
        </w:rPr>
        <w:t>援</w:t>
      </w:r>
      <w:r>
        <w:rPr>
          <w:rFonts w:ascii="新細明體" w:eastAsia="新細明體" w:hint="eastAsia"/>
        </w:rPr>
        <w:t>助金(例如：申請人／受委人可與銀行安排匯款，將援助金匯到廣東或福建省)；有關安排所需費用，須由申請人／受委人自行支付。</w:t>
      </w:r>
      <w:r w:rsidR="00940126">
        <w:rPr>
          <w:rFonts w:ascii="新細明體" w:eastAsia="新細明體" w:hint="eastAsia"/>
        </w:rPr>
        <w:t>現時，部分銀行有豁免收費的安排，申請人／受委人可向所屬銀行查詢。</w:t>
      </w:r>
    </w:p>
    <w:p w14:paraId="0E9579B2" w14:textId="77777777" w:rsidR="001C5720" w:rsidRDefault="001C5720" w:rsidP="001C5720">
      <w:pPr>
        <w:ind w:firstLine="0"/>
        <w:rPr>
          <w:rFonts w:ascii="新細明體" w:eastAsia="新細明體"/>
        </w:rPr>
      </w:pPr>
      <w:r>
        <w:rPr>
          <w:rFonts w:ascii="新細明體" w:eastAsia="新細明體" w:hint="eastAsia"/>
          <w:b/>
          <w:bCs/>
          <w:u w:val="single"/>
        </w:rPr>
        <w:t>上訴</w:t>
      </w:r>
    </w:p>
    <w:p w14:paraId="176A6DB8" w14:textId="77777777" w:rsidR="001C5720" w:rsidRDefault="001C5720" w:rsidP="001C5720">
      <w:pPr>
        <w:ind w:firstLine="0"/>
        <w:rPr>
          <w:rFonts w:ascii="新細明體" w:eastAsia="新細明體"/>
        </w:rPr>
      </w:pPr>
      <w:r>
        <w:rPr>
          <w:rFonts w:ascii="新細明體" w:eastAsia="新細明體" w:hint="eastAsia"/>
        </w:rPr>
        <w:t>十.</w:t>
      </w:r>
      <w:r>
        <w:rPr>
          <w:rFonts w:ascii="新細明體" w:eastAsia="新細明體" w:hint="eastAsia"/>
        </w:rPr>
        <w:tab/>
      </w:r>
      <w:r>
        <w:rPr>
          <w:rFonts w:ascii="新細明體" w:eastAsia="新細明體" w:hint="eastAsia"/>
        </w:rPr>
        <w:tab/>
        <w:t>如申請人不同意社署所作出的決定，可向社會保障上訴委員會</w:t>
      </w:r>
      <w:r>
        <w:rPr>
          <w:rFonts w:ascii="新細明體" w:eastAsia="新細明體" w:hint="eastAsia"/>
          <w:spacing w:val="10"/>
        </w:rPr>
        <w:t>提出</w:t>
      </w:r>
      <w:r>
        <w:rPr>
          <w:rFonts w:ascii="新細明體" w:eastAsia="新細明體" w:hint="eastAsia"/>
        </w:rPr>
        <w:t>上訴。該委員會</w:t>
      </w:r>
      <w:r w:rsidR="00F12974">
        <w:rPr>
          <w:rFonts w:ascii="新細明體" w:eastAsia="新細明體" w:hint="eastAsia"/>
        </w:rPr>
        <w:t>是一個</w:t>
      </w:r>
      <w:r>
        <w:rPr>
          <w:rFonts w:ascii="新細明體" w:eastAsia="新細明體" w:hint="eastAsia"/>
        </w:rPr>
        <w:t>由行政長官委任的非政府人員組成</w:t>
      </w:r>
      <w:r w:rsidR="0081534A">
        <w:rPr>
          <w:rFonts w:ascii="新細明體" w:eastAsia="新細明體" w:hint="eastAsia"/>
        </w:rPr>
        <w:t>的獨立機構</w:t>
      </w:r>
      <w:r>
        <w:rPr>
          <w:rFonts w:ascii="新細明體" w:eastAsia="新細明體" w:hint="eastAsia"/>
        </w:rPr>
        <w:t>。上訴必須在社署署長發出決定通知書的日期起計四個星期內提</w:t>
      </w:r>
      <w:r>
        <w:rPr>
          <w:rFonts w:ascii="新細明體" w:eastAsia="新細明體" w:hint="eastAsia"/>
          <w:spacing w:val="10"/>
        </w:rPr>
        <w:t>出</w:t>
      </w:r>
      <w:r>
        <w:rPr>
          <w:rFonts w:ascii="新細明體" w:eastAsia="新細明體" w:hint="eastAsia"/>
        </w:rPr>
        <w:t>，上訴程序可向社會保障辦事處查詢。</w:t>
      </w:r>
    </w:p>
    <w:p w14:paraId="68FFED54" w14:textId="10F81B16" w:rsidR="001C5720" w:rsidRDefault="001C5720" w:rsidP="001C5720">
      <w:pPr>
        <w:ind w:firstLine="0"/>
        <w:rPr>
          <w:rFonts w:ascii="新細明體" w:eastAsia="新細明體" w:hAnsi="新細明體"/>
        </w:rPr>
      </w:pPr>
      <w:r>
        <w:rPr>
          <w:rFonts w:ascii="新細明體" w:eastAsia="新細明體" w:hAnsi="新細明體" w:hint="eastAsia"/>
        </w:rPr>
        <w:t>(202</w:t>
      </w:r>
      <w:r w:rsidR="00631D09">
        <w:rPr>
          <w:rFonts w:ascii="新細明體" w:eastAsia="新細明體" w:hAnsi="新細明體"/>
        </w:rPr>
        <w:t>4</w:t>
      </w:r>
      <w:r>
        <w:rPr>
          <w:rFonts w:ascii="新細明體" w:eastAsia="新細明體" w:hAnsi="新細明體" w:hint="eastAsia"/>
        </w:rPr>
        <w:t>年</w:t>
      </w:r>
      <w:r w:rsidR="0081534A">
        <w:rPr>
          <w:rFonts w:ascii="新細明體" w:eastAsia="新細明體" w:hAnsi="新細明體" w:hint="eastAsia"/>
        </w:rPr>
        <w:t>7</w:t>
      </w:r>
      <w:r>
        <w:rPr>
          <w:rFonts w:ascii="新細明體" w:eastAsia="新細明體" w:hAnsi="新細明體" w:hint="eastAsia"/>
        </w:rPr>
        <w:t>月)</w:t>
      </w:r>
    </w:p>
    <w:p w14:paraId="3D40A647" w14:textId="77777777" w:rsidR="00BB7F92" w:rsidRDefault="00455FB8"/>
    <w:sectPr w:rsidR="00BB7F9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7D26" w14:textId="77777777" w:rsidR="00455FB8" w:rsidRDefault="00455FB8" w:rsidP="00630225">
      <w:pPr>
        <w:spacing w:after="0" w:line="240" w:lineRule="auto"/>
      </w:pPr>
      <w:r>
        <w:separator/>
      </w:r>
    </w:p>
  </w:endnote>
  <w:endnote w:type="continuationSeparator" w:id="0">
    <w:p w14:paraId="5E929B70" w14:textId="77777777" w:rsidR="00455FB8" w:rsidRDefault="00455FB8" w:rsidP="00630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細明體">
    <w:altName w:val="Arial Unicode MS"/>
    <w:charset w:val="88"/>
    <w:family w:val="modern"/>
    <w:pitch w:val="fixed"/>
    <w:sig w:usb0="00000000" w:usb1="38CFFDFA" w:usb2="00000016" w:usb3="00000000" w:csb0="00160001" w:csb1="00000000"/>
  </w:font>
  <w:font w:name="華康中黑體">
    <w:altName w:val="Arial Unicode MS"/>
    <w:charset w:val="88"/>
    <w:family w:val="modern"/>
    <w:pitch w:val="fixed"/>
    <w:sig w:usb0="00000000" w:usb1="38CFFDFA" w:usb2="00000016" w:usb3="00000000" w:csb0="0016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95A0A" w14:textId="77777777" w:rsidR="00455FB8" w:rsidRDefault="00455FB8" w:rsidP="00630225">
      <w:pPr>
        <w:spacing w:after="0" w:line="240" w:lineRule="auto"/>
      </w:pPr>
      <w:r>
        <w:separator/>
      </w:r>
    </w:p>
  </w:footnote>
  <w:footnote w:type="continuationSeparator" w:id="0">
    <w:p w14:paraId="73F77553" w14:textId="77777777" w:rsidR="00455FB8" w:rsidRDefault="00455FB8" w:rsidP="00630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57EF4"/>
    <w:multiLevelType w:val="singleLevel"/>
    <w:tmpl w:val="C5B41608"/>
    <w:lvl w:ilvl="0">
      <w:start w:val="1"/>
      <w:numFmt w:val="ideographTraditional"/>
      <w:lvlText w:val="(%1) "/>
      <w:legacy w:legacy="1" w:legacySpace="0" w:legacyIndent="425"/>
      <w:lvlJc w:val="left"/>
      <w:pPr>
        <w:ind w:left="1505" w:hanging="425"/>
      </w:pPr>
      <w:rPr>
        <w:rFonts w:ascii="新細明體" w:eastAsia="新細明體" w:hAnsi="Times New Roman" w:hint="eastAsia"/>
        <w:b w:val="0"/>
        <w:i w:val="0"/>
        <w:strike w:val="0"/>
        <w:dstrike w:val="0"/>
        <w:sz w:val="20"/>
        <w:szCs w:val="20"/>
        <w:u w:val="none"/>
        <w:effect w:val="no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20"/>
    <w:rsid w:val="00023DB3"/>
    <w:rsid w:val="000511B2"/>
    <w:rsid w:val="00157A14"/>
    <w:rsid w:val="001C5720"/>
    <w:rsid w:val="001F6C51"/>
    <w:rsid w:val="002D265E"/>
    <w:rsid w:val="0034660F"/>
    <w:rsid w:val="00391736"/>
    <w:rsid w:val="00455FB8"/>
    <w:rsid w:val="00521C62"/>
    <w:rsid w:val="005C2441"/>
    <w:rsid w:val="005C27A6"/>
    <w:rsid w:val="005C5785"/>
    <w:rsid w:val="00630225"/>
    <w:rsid w:val="00631D09"/>
    <w:rsid w:val="007B13C4"/>
    <w:rsid w:val="0081534A"/>
    <w:rsid w:val="00940126"/>
    <w:rsid w:val="00A11B97"/>
    <w:rsid w:val="00B02298"/>
    <w:rsid w:val="00B7725C"/>
    <w:rsid w:val="00C03EB4"/>
    <w:rsid w:val="00E962D1"/>
    <w:rsid w:val="00F11023"/>
    <w:rsid w:val="00F129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96B2B"/>
  <w15:chartTrackingRefBased/>
  <w15:docId w15:val="{20D108DA-AF57-42C8-A7B2-D9D085C2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720"/>
    <w:pPr>
      <w:widowControl w:val="0"/>
      <w:adjustRightInd w:val="0"/>
      <w:spacing w:after="240" w:line="400" w:lineRule="atLeast"/>
      <w:ind w:firstLine="540"/>
      <w:jc w:val="both"/>
    </w:pPr>
    <w:rPr>
      <w:rFonts w:ascii="Courier New" w:eastAsia="華康細明體" w:hAnsi="Courier New" w:cs="Times New Roman"/>
      <w:spacing w:val="20"/>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12C">
    <w:name w:val="B12_C"/>
    <w:basedOn w:val="a"/>
    <w:rsid w:val="001C5720"/>
    <w:pPr>
      <w:keepNext/>
      <w:ind w:firstLine="0"/>
      <w:jc w:val="center"/>
    </w:pPr>
    <w:rPr>
      <w:rFonts w:eastAsia="華康中黑體"/>
      <w:u w:val="single"/>
    </w:rPr>
  </w:style>
  <w:style w:type="paragraph" w:styleId="a3">
    <w:name w:val="Balloon Text"/>
    <w:basedOn w:val="a"/>
    <w:link w:val="a4"/>
    <w:uiPriority w:val="99"/>
    <w:semiHidden/>
    <w:unhideWhenUsed/>
    <w:rsid w:val="00B7725C"/>
    <w:pPr>
      <w:spacing w:after="0"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7725C"/>
    <w:rPr>
      <w:rFonts w:asciiTheme="majorHAnsi" w:eastAsiaTheme="majorEastAsia" w:hAnsiTheme="majorHAnsi" w:cstheme="majorBidi"/>
      <w:spacing w:val="20"/>
      <w:kern w:val="0"/>
      <w:sz w:val="18"/>
      <w:szCs w:val="18"/>
    </w:rPr>
  </w:style>
  <w:style w:type="paragraph" w:styleId="a5">
    <w:name w:val="header"/>
    <w:basedOn w:val="a"/>
    <w:link w:val="a6"/>
    <w:uiPriority w:val="99"/>
    <w:unhideWhenUsed/>
    <w:rsid w:val="00630225"/>
    <w:pPr>
      <w:tabs>
        <w:tab w:val="center" w:pos="4153"/>
        <w:tab w:val="right" w:pos="8306"/>
      </w:tabs>
      <w:snapToGrid w:val="0"/>
    </w:pPr>
    <w:rPr>
      <w:szCs w:val="20"/>
    </w:rPr>
  </w:style>
  <w:style w:type="character" w:customStyle="1" w:styleId="a6">
    <w:name w:val="頁首 字元"/>
    <w:basedOn w:val="a0"/>
    <w:link w:val="a5"/>
    <w:uiPriority w:val="99"/>
    <w:rsid w:val="00630225"/>
    <w:rPr>
      <w:rFonts w:ascii="Courier New" w:eastAsia="華康細明體" w:hAnsi="Courier New" w:cs="Times New Roman"/>
      <w:spacing w:val="20"/>
      <w:kern w:val="0"/>
      <w:sz w:val="20"/>
      <w:szCs w:val="20"/>
    </w:rPr>
  </w:style>
  <w:style w:type="paragraph" w:styleId="a7">
    <w:name w:val="footer"/>
    <w:basedOn w:val="a"/>
    <w:link w:val="a8"/>
    <w:uiPriority w:val="99"/>
    <w:unhideWhenUsed/>
    <w:rsid w:val="00630225"/>
    <w:pPr>
      <w:tabs>
        <w:tab w:val="center" w:pos="4153"/>
        <w:tab w:val="right" w:pos="8306"/>
      </w:tabs>
      <w:snapToGrid w:val="0"/>
    </w:pPr>
    <w:rPr>
      <w:szCs w:val="20"/>
    </w:rPr>
  </w:style>
  <w:style w:type="character" w:customStyle="1" w:styleId="a8">
    <w:name w:val="頁尾 字元"/>
    <w:basedOn w:val="a0"/>
    <w:link w:val="a7"/>
    <w:uiPriority w:val="99"/>
    <w:rsid w:val="00630225"/>
    <w:rPr>
      <w:rFonts w:ascii="Courier New" w:eastAsia="華康細明體" w:hAnsi="Courier New" w:cs="Times New Roman"/>
      <w:spacing w:val="20"/>
      <w:kern w:val="0"/>
      <w:sz w:val="20"/>
      <w:szCs w:val="20"/>
    </w:rPr>
  </w:style>
  <w:style w:type="character" w:styleId="a9">
    <w:name w:val="annotation reference"/>
    <w:basedOn w:val="a0"/>
    <w:uiPriority w:val="99"/>
    <w:semiHidden/>
    <w:unhideWhenUsed/>
    <w:rsid w:val="00023DB3"/>
    <w:rPr>
      <w:sz w:val="18"/>
      <w:szCs w:val="18"/>
    </w:rPr>
  </w:style>
  <w:style w:type="paragraph" w:styleId="aa">
    <w:name w:val="annotation text"/>
    <w:basedOn w:val="a"/>
    <w:link w:val="ab"/>
    <w:uiPriority w:val="99"/>
    <w:semiHidden/>
    <w:unhideWhenUsed/>
    <w:rsid w:val="00023DB3"/>
    <w:pPr>
      <w:jc w:val="left"/>
    </w:pPr>
  </w:style>
  <w:style w:type="character" w:customStyle="1" w:styleId="ab">
    <w:name w:val="註解文字 字元"/>
    <w:basedOn w:val="a0"/>
    <w:link w:val="aa"/>
    <w:uiPriority w:val="99"/>
    <w:semiHidden/>
    <w:rsid w:val="00023DB3"/>
    <w:rPr>
      <w:rFonts w:ascii="Courier New" w:eastAsia="華康細明體" w:hAnsi="Courier New" w:cs="Times New Roman"/>
      <w:spacing w:val="20"/>
      <w:kern w:val="0"/>
      <w:sz w:val="20"/>
      <w:szCs w:val="24"/>
    </w:rPr>
  </w:style>
  <w:style w:type="paragraph" w:styleId="ac">
    <w:name w:val="annotation subject"/>
    <w:basedOn w:val="aa"/>
    <w:next w:val="aa"/>
    <w:link w:val="ad"/>
    <w:uiPriority w:val="99"/>
    <w:semiHidden/>
    <w:unhideWhenUsed/>
    <w:rsid w:val="00023DB3"/>
    <w:rPr>
      <w:b/>
      <w:bCs/>
    </w:rPr>
  </w:style>
  <w:style w:type="character" w:customStyle="1" w:styleId="ad">
    <w:name w:val="註解主旨 字元"/>
    <w:basedOn w:val="ab"/>
    <w:link w:val="ac"/>
    <w:uiPriority w:val="99"/>
    <w:semiHidden/>
    <w:rsid w:val="00023DB3"/>
    <w:rPr>
      <w:rFonts w:ascii="Courier New" w:eastAsia="華康細明體" w:hAnsi="Courier New" w:cs="Times New Roman"/>
      <w:b/>
      <w:bCs/>
      <w:spacing w:val="20"/>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71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Shun Ching</dc:creator>
  <cp:keywords/>
  <dc:description/>
  <cp:lastModifiedBy>CHOW, Po Wing</cp:lastModifiedBy>
  <cp:revision>2</cp:revision>
  <cp:lastPrinted>2024-03-28T03:37:00Z</cp:lastPrinted>
  <dcterms:created xsi:type="dcterms:W3CDTF">2025-09-26T06:15:00Z</dcterms:created>
  <dcterms:modified xsi:type="dcterms:W3CDTF">2025-09-26T06:15:00Z</dcterms:modified>
</cp:coreProperties>
</file>